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RNA İZOLASYONU VE KÜTÜPHANE HAZIRLAMA SARF MALZEMELERİ TEKNİK ŞARTNAMESİ</w:t>
      </w:r>
    </w:p>
    <w:p>
      <w:pPr>
        <w:pStyle w:val="Heading1"/>
      </w:pPr>
      <w:r>
        <w:t>1. GENEL ŞARTLAR</w:t>
      </w:r>
    </w:p>
    <w:p>
      <w:pPr>
        <w:pStyle w:val="ListBullet"/>
      </w:pPr>
      <w:r>
        <w:t>Teklif edilen tüm ürünler orijinal ambalajında, açılmamış ve hasarsız olmalıdır.</w:t>
      </w:r>
    </w:p>
    <w:p>
      <w:pPr>
        <w:pStyle w:val="ListBullet"/>
      </w:pPr>
      <w:r>
        <w:t>Soğuk zincir gerektiren ürünler (Kitler, enzimler vb.) uygun koşullarda (+4°C veya -20°C) teslim edilmelidir.</w:t>
      </w:r>
    </w:p>
    <w:p>
      <w:pPr>
        <w:pStyle w:val="ListBullet"/>
      </w:pPr>
      <w:r>
        <w:t>Ürünlerin son kullanım tarihleri teslimat tarihinden itibaren en az 1 (bir) yıl olmalıdır.</w:t>
      </w:r>
    </w:p>
    <w:p>
      <w:pPr>
        <w:pStyle w:val="ListBullet"/>
      </w:pPr>
      <w:r>
        <w:t>Kitler ile birlikte gerekli tüm protokoller ve güvenlik bilgi formları (MSDS) sağlanmalıdır.</w:t>
      </w:r>
    </w:p>
    <w:p>
      <w:pPr>
        <w:pStyle w:val="Heading1"/>
      </w:pPr>
      <w:r>
        <w:t>2. TEKNİK ÖZELLİKLER</w:t>
      </w:r>
    </w:p>
    <w:p>
      <w:pPr>
        <w:pStyle w:val="Heading2"/>
      </w:pPr>
      <w:r>
        <w:t>2.1. Quick-RNA Miniprep İzolasyon Kiti (200 Prep)</w:t>
      </w:r>
    </w:p>
    <w:p>
      <w:pPr>
        <w:pStyle w:val="ListBullet"/>
      </w:pPr>
      <w:r>
        <w:t>Kit; hücre, doku ve biyolojik sıvılardan yüksek saflıkta toplam RNA izolasyonu yapabilmelidir.</w:t>
      </w:r>
    </w:p>
    <w:p>
      <w:pPr>
        <w:pStyle w:val="ListBullet"/>
      </w:pPr>
      <w:r>
        <w:t>DNA kontaminasyonunu önlemek amacıyla kit içeriğinde kolon üzerinde (in-column) DNase I enzimi ve ilgili tamponları bulunmalıdır.</w:t>
      </w:r>
    </w:p>
    <w:p>
      <w:pPr>
        <w:pStyle w:val="ListBullet"/>
      </w:pPr>
      <w:r>
        <w:t>İzolasyon süresi hızlı olmalı (yaklaşık 10-15 dakika), organik çözücü (fenol/kloroform) kullanımı gerektirmemelidir.</w:t>
      </w:r>
    </w:p>
    <w:p>
      <w:pPr>
        <w:pStyle w:val="ListBullet"/>
      </w:pPr>
      <w:r>
        <w:t>Elde edilen RNA; NGS, RT-qPCR ve microarray gibi hassas uygulamalara doğrudan uygun olmalıdır.</w:t>
      </w:r>
    </w:p>
    <w:p>
      <w:pPr>
        <w:pStyle w:val="ListBullet"/>
      </w:pPr>
      <w:r>
        <w:t>Kolonların bağlama kapasitesi en az 100 µg RNA olmalıdır.</w:t>
      </w:r>
    </w:p>
    <w:p>
      <w:pPr>
        <w:pStyle w:val="Heading2"/>
      </w:pPr>
      <w:r>
        <w:t>2.2. TruSeq RNA Kütüphane Hazırlama Kiti - V2 (48 Örnek)</w:t>
      </w:r>
    </w:p>
    <w:p>
      <w:pPr>
        <w:pStyle w:val="ListBullet"/>
      </w:pPr>
      <w:r>
        <w:t>İllumina platformları ile tam uyumlu olmalıdır.</w:t>
      </w:r>
    </w:p>
    <w:p>
      <w:pPr>
        <w:pStyle w:val="ListBullet"/>
      </w:pPr>
      <w:r>
        <w:t>Toplam RNA'dan poly-A seçilimi (mRNA enrichment) yöntemiyle kütüphane hazırlamaya uygun olmalıdır.</w:t>
      </w:r>
    </w:p>
    <w:p>
      <w:pPr>
        <w:pStyle w:val="ListBullet"/>
      </w:pPr>
      <w:r>
        <w:t>Paket içeriği 48 örnek hazırlamaya yetecek miktarda enzim, tampon ve adaptörleri içermelidir.</w:t>
      </w:r>
    </w:p>
    <w:p>
      <w:pPr>
        <w:pStyle w:val="ListBullet"/>
      </w:pPr>
      <w:r>
        <w:t>Havuzlama (pooling) yapılabilmesi için set içerisinde en az 12 farklı indeks (barcode) bulunmalıdır.</w:t>
      </w:r>
    </w:p>
    <w:p>
      <w:pPr>
        <w:pStyle w:val="ListBullet"/>
      </w:pPr>
      <w:r>
        <w:t>Kit, düşük miktardaki (low input) RNA örnekleriyle çalışabilme kapasitesine sahip olmalıdır.</w:t>
      </w:r>
    </w:p>
    <w:p>
      <w:pPr>
        <w:pStyle w:val="Heading2"/>
      </w:pPr>
      <w:r>
        <w:t>2.3. AMPure XP Reagent for PCR Purification (60 ml)</w:t>
      </w:r>
    </w:p>
    <w:p>
      <w:pPr>
        <w:pStyle w:val="ListBullet"/>
      </w:pPr>
      <w:r>
        <w:t>SPRI (Solid Phase Reversible Immobilization) paramanyetik boncuk teknolojisine sahip olmalıdır.</w:t>
      </w:r>
    </w:p>
    <w:p>
      <w:pPr>
        <w:pStyle w:val="ListBullet"/>
      </w:pPr>
      <w:r>
        <w:t>PCR ürünlerinin temizlenmesi ve NGS kütüphane hazırlama aşamalarında boyut seçimi (size selection) yapabilmelidir.</w:t>
      </w:r>
    </w:p>
    <w:p>
      <w:pPr>
        <w:pStyle w:val="ListBullet"/>
      </w:pPr>
      <w:r>
        <w:t>Elle (manual) kullanıma veya otomatik sıvı işleme sistemlerine uygun olmalıdır.</w:t>
      </w:r>
    </w:p>
    <w:p>
      <w:pPr>
        <w:pStyle w:val="ListBullet"/>
      </w:pPr>
      <w:r>
        <w:t>60 ml’lik orijinal ambalajında sunulmalıdır.</w:t>
      </w:r>
    </w:p>
    <w:p>
      <w:pPr>
        <w:pStyle w:val="Heading2"/>
      </w:pPr>
      <w:r>
        <w:t>2.4. Magnetic Bead Stand (Manyetik Stand)</w:t>
      </w:r>
    </w:p>
    <w:p>
      <w:pPr>
        <w:pStyle w:val="ListBullet"/>
      </w:pPr>
      <w:r>
        <w:t>1.5 ml ve 2.0 ml'lik mikrosantrifüj tüpleri ile uyumlu olmalıdır.</w:t>
      </w:r>
    </w:p>
    <w:p>
      <w:pPr>
        <w:pStyle w:val="ListBullet"/>
      </w:pPr>
      <w:r>
        <w:t>İçeriğinde yüksek çekim gücüne sahip Neodimyum mıknatıslar bulunmalıdır.</w:t>
      </w:r>
    </w:p>
    <w:p>
      <w:pPr>
        <w:pStyle w:val="ListBullet"/>
      </w:pPr>
      <w:r>
        <w:t>Boncukların (beads) hızlı bir şekilde tüp duvarına toplanmasını sağlayarak berrak bir süpernatant eldesine imkan vermelidir.</w:t>
      </w:r>
    </w:p>
    <w:p>
      <w:pPr>
        <w:pStyle w:val="ListBullet"/>
      </w:pPr>
      <w:r>
        <w:t>Laboratuvar kimyasallarına ve dezenfektanlara dayanıklı malzemeden üretilmiş olmalıdır.</w:t>
      </w:r>
    </w:p>
    <w:p>
      <w:pPr>
        <w:pStyle w:val="Heading2"/>
      </w:pPr>
      <w:r>
        <w:t>2.5. Bioagilent 2100 RNA Integrity Number (RIN) Kit</w:t>
      </w:r>
    </w:p>
    <w:p>
      <w:pPr>
        <w:pStyle w:val="ListBullet"/>
      </w:pPr>
      <w:r>
        <w:t>Agilent 2100 Bioanalyzer cihazı ile tam uyumlu olmalıdır.</w:t>
      </w:r>
    </w:p>
    <w:p>
      <w:pPr>
        <w:pStyle w:val="ListBullet"/>
      </w:pPr>
      <w:r>
        <w:t>RNA bütünlüğünü ölçmek için RIN (RNA Integrity Number) skorlaması yapabilmelidir.</w:t>
      </w:r>
    </w:p>
    <w:p>
      <w:pPr>
        <w:pStyle w:val="ListBullet"/>
      </w:pPr>
      <w:r>
        <w:t>Set içerisinde; analiz için gerekli mikro-çipler, boya (dye), jel matrisi, marker ve RNA ladder bulunmalıdır.</w:t>
      </w:r>
    </w:p>
    <w:p>
      <w:pPr>
        <w:pStyle w:val="ListBullet"/>
      </w:pPr>
      <w:r>
        <w:t>En az 2 paket (toplamda cihazın kapasitesine göre belirlenen örnek sayısı kadar) teslim edilmelidir.</w:t>
      </w:r>
    </w:p>
    <w:p>
      <w:pPr>
        <w:pStyle w:val="Heading2"/>
      </w:pPr>
      <w:r>
        <w:t>2.6. 10 µl Filtreli Pipet Ucu (50 Adet/Kutu)</w:t>
      </w:r>
    </w:p>
    <w:p>
      <w:pPr>
        <w:pStyle w:val="ListBullet"/>
      </w:pPr>
      <w:r>
        <w:t>Ürünler steril ve tekli paketlenmiş veya rack (raf) içerisinde olmalıdır.</w:t>
      </w:r>
    </w:p>
    <w:p>
      <w:pPr>
        <w:pStyle w:val="ListBullet"/>
      </w:pPr>
      <w:r>
        <w:t>DNase, RNase, Pirojen ve DNA içermediğine dair sertifikası bulunmalıdır.</w:t>
      </w:r>
    </w:p>
    <w:p>
      <w:pPr>
        <w:pStyle w:val="ListBullet"/>
      </w:pPr>
      <w:r>
        <w:t>Filtreler; aerosol kontaminasyonunu %99.9 oranında engelleyecek yapıda olmalıdır.</w:t>
      </w:r>
    </w:p>
    <w:p>
      <w:pPr>
        <w:pStyle w:val="ListBullet"/>
      </w:pPr>
      <w:r>
        <w:t>Evrensel (universal) yapıda olup, piyasadaki yaygın mikropipet markaları ile tam uyumlu çalışmalıdır.</w:t>
      </w:r>
    </w:p>
    <w:p>
      <w:pPr>
        <w:pStyle w:val="ListBullet"/>
      </w:pPr>
      <w:r>
        <w:t>Düşük tututculuk (Low-retention) özelliğine sahip olmalıdır.</w:t>
      </w:r>
    </w:p>
    <w:p>
      <w:pPr>
        <w:pStyle w:val="Heading2"/>
      </w:pPr>
      <w:r>
        <w:t>2.7. Qubit RNA High Sensitivity (HS) ve Broad Range (BR) Kitleri</w:t>
      </w:r>
    </w:p>
    <w:p>
      <w:pPr>
        <w:pStyle w:val="ListBullet"/>
      </w:pPr>
      <w:r>
        <w:t>Qubit Florometre cihazları (2.0, 3.0, 4.0 veya Flex) ile tam uyumlu olmalıdır.</w:t>
      </w:r>
    </w:p>
    <w:p>
      <w:pPr>
        <w:pStyle w:val="ListBullet"/>
      </w:pPr>
      <w:r>
        <w:t>High Sensitivity (HS) kiti: 500 pg/µL ile 100 ng/µL aralığında hassas ölçüm yapabilmelidir.</w:t>
      </w:r>
    </w:p>
    <w:p>
      <w:pPr>
        <w:pStyle w:val="ListBullet"/>
      </w:pPr>
      <w:r>
        <w:t>Broad Range (BR) kiti: 20 ng/µL ile 1000 ng/µL aralığında ölçüm yapabilmelidir.</w:t>
      </w:r>
    </w:p>
    <w:p>
      <w:pPr>
        <w:pStyle w:val="ListBullet"/>
      </w:pPr>
      <w:r>
        <w:t>Kit içeriğinde floresan boya, seyreltme tamponu ve kalibrasyon için gerekli standartlar (Standard 1 ve Standard 2) bulunmalıdır.</w:t>
      </w:r>
    </w:p>
    <w:p>
      <w:pPr>
        <w:pStyle w:val="ListBullet"/>
      </w:pPr>
      <w:r>
        <w:t>Ölçüm, RNA'ya özgül olmalı; ortamdaki DNA veya protein kontaminasyonundan etkilenmemelidir.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